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Data Transfer Security Framework and the Transatlantic Architecture of Digital Privacy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digital global economy is underpinned by the continuous, high-speed exchange of data across international borders. As these flows grow in volume and complexity, the necessity for a standardized approach to securing this information becomes paramount. The Data Transfer Security Framework (DTSF) v0.1.2 (alfa) represents a significant evolutionary step in this domain, providing a comprehensive set of protocols, standards, and organizational practices designed to ensure the secure transmission of data between systems and across disparate networks.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framework is not merely a technical document but a holistic synthesis of cybersecurity rigor and regulatory compliance, intended to safeguard information from unauthorized access, interception, and tampering during its most vulnerable state: when in transit.</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emergence of DTSF v0.1.2 is a response to the increasingly hostile cyber landscape and the shifting legal requirements for transatlantic data flows. In the wake of landmark legal decisions such as the invalidation of the Privacy Shield by the Court of Justice of the European Union, organizations have struggled to find a reliable mechanism for data transfers that satisfies both the technical demands of security and the legal demands of privacy.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framework serves as a bridge between these requirements, integrating technical controls like encryption and secure protocols with the administrative principles of notice, choice, and accountability.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Foundations of Secure Data Transmission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its core, the DTSF v0.1.2 is built upon several technological pillars that work in concert to protect the confidentiality, integrity, and availability of data. Data transfer security ensures that information exchanged between systems remains uncorrupted and accessible only to authorized entities.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is achieved through a layered defense strategy that begins at the network layer and extends to the application level.</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Cryptographic Safeguards and Protocol Integrity</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Encryption is the most fundamental component of the framework. It involves the transformation of plaintext data into ciphertext using cryptographic algorithms, rendering it unreadable to any party that does not possess the correct decryption key.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framework mandates the implementation of robust encryption for data in transit, specifically citing protocols such as SSL/TLS for web traffic, IPSec for network-level communications, and PGP for securing email.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choice of cryptographic algorithm is critical. NIST SP 800-175B provides guidelines for the federal government that are widely adopted by the private sector, emphasizing the use of validated cryptographic modules and algorithms that offer sufficient security strength.</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For symmetric encryption, the framework typically leans toward the Advanced Encryption Standard (AES), while asymmetric encryption is utilized for key exchange and digital signatures to ensure the authenticity of the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Cryptographic 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Protocol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Security Objective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Symmetric Encryption (AES)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TLS, IPSec, SFTP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Confidentiality of bulk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Asymmetric Encryption (RSA/ECC)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Certificates, SSH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Authentication and Key Exchange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Hashing (SHA-256)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HMAC, Checksums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Data Integrity and Verification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Digital Signatures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S/MIME, PGP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Non-repudiation and Authenticity</w:t>
            </w:r>
          </w:p>
        </w:tc>
      </w:tr>
    </w:tbl>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Secure communication protocols build upon these cryptographic foundations to establish encrypted channels between endpoints. Protocols like HTTPS, SFTP, and SSH provide more than just encryption; they offer authentication mechanisms that verify the identity of the server and, in many cases, the client.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example, the Secure Shell (SSH) protocol is essential for remote access, providing a secure method for administrators to manage systems without exposing credentials or commands to potential eavesdroppers.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Similarly, SFTP (SSH File Transfer Protocol) ensures that file transfers are both encrypted and authenticated, preventing the common vulnerabilities associated with legacy protocols like FTP.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Authentication and Access Governance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Verification of identity is a prerequisite for any secure data transfer. The framework highlights the importance of strong authentication methods to prevent unauthorized access. This often involves multi-factor authentication (MFA), which requires users to provide two or more verification factors, such as something they know (password), something they have (digital certificate), or something they are (biometrics).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Once identity is established, access controls must be enforced to limit the scope of what an authenticated user or system can do. The Principle of Least Privilege is a core tenant of the framework, dictating that entities should only be granted the minimum level of access necessary to complete their specific tasks.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Role-Based Access Control (RBAC) and Attribute-Based Access Control (ABAC) are recommended mechanisms for managing these permissions, allowing organizations to restrict data access based on user roles, department affiliations, or environmental conditions.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Evolution of Transatlantic Privacy Agreements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regulatory dimension of the DTSF v0.1.2 is deeply intertwined with the history of data privacy agreements between the United States and the European Union. The legal landscape has been characterized by significant volatility following the Schrems I and Schrems II rulings, which invalidated the Safe Harbor and Privacy Shield frameworks, respectively.</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These decisions highlighted the fundamental tension between U.S. national security surveillance practices and the stringent privacy protections afforded to EU citizens under the General Data Protection Regulation (GDPR).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From Privacy Shield to the EU-U.S. Data Privacy Framework</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2023 adequacy decision by the European Commission established the new EU-U.S. Data Privacy Framework (DPF), which forms the legal basis for the DTSF v0.1.2. The DPF introduced several critical enhancements designed to address the concerns raised by the Court of Justice of the European Union. Most notably, U.S. President Biden signed Executive Order 14086, which implemented new safeguards for U.S. signals intelligence activities, requiring that such activities be necessary and proportionate to a legitimate national security objective.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Furthermore, the DPF created a dual-layered redress mechanism for individuals who believe their data has been unlawfully accessed by U.S. intelligence agencies. The first layer involves the Civil Liberties Protection Officer (CLPO) in the Office of the Director of National Intelligence, while the second layer is the newly established Data Protection Review Court (DPRC), which operates with independence from the executive branch.</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 General Court of the European Union recently upheld the DPF, providing much-needed legal certainty for businesses operating across the Atlantic.</w:t>
      </w:r>
      <w:r w:rsidDel="00000000" w:rsidR="00000000" w:rsidRPr="00000000">
        <w:rPr>
          <w:rFonts w:ascii="Google Sans Text" w:cs="Google Sans Text" w:eastAsia="Google Sans Text" w:hAnsi="Google Sans Text"/>
          <w:color w:val="444746"/>
          <w:sz w:val="24"/>
          <w:szCs w:val="24"/>
          <w:vertAlign w:val="superscript"/>
          <w:rtl w:val="0"/>
        </w:rPr>
        <w:t xml:space="preserve">4</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Regulatory Era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Governing Agreement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Key Challenges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Status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Pre-2015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Safe Harbor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Schrems I (Surveillance concerns)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2016-2020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Privacy Shield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Schrems II (Lack of redress)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Invalidated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2023-Present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EU-U.S. DPF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Ongoing litigation and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Global Standard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ISO/IEC 27001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cost of certification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w:t>
            </w:r>
          </w:p>
        </w:tc>
      </w:tr>
    </w:tbl>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Regulatory Convergence: NIST and ISO 27001</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DPF provides the legal mechanism for transfer, organizations often look to established security standards like NIST and ISO to operationalize their security programs. The DTSF v0.1.2 encourages alignment with these frameworks to ensure a robust security posture.</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NIST Cybersecurity Framework (CSF) is structured around five core functions: Identify, Protect, Detect, Respond, and Recover.</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functional approach helps organizations manage cybersecurity risk as part of their broader risk management strategy. In contrast, ISO/IEC 27001 is an international standard for an Information Security Management System (ISMS), focusing on the CIA triad of confidentiality, integrity, and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distinction between these frameworks is often described as the difference between a guide and a test. NIST CSF serves as an instruction manual for building a program, whereas ISO 27001 is a certifiable standard that requires a rigorous audit of documented policies and implemented controls.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Organizations often choose to integrate both, using the NIST CSF for tactical guidance and ISO 27001 for formal certification and stakeholder assurance.</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Paradigm Shift to Zero Trust Architecture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defining characteristic of the DTSF v0.1.2 is its integration of Zero Trust principles. Modern security models are moving away from the traditional "castle-and-moat" approach, which assumed that everything inside a network boundary was trustworthy.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Instead, the Zero Trust model assumes that the network is already compromised and that threats may exist both inside and outside the perimeter.</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Core Principles of Zero Trust in Data Transfer</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Zero Trust architecture within the DTSF is based on three fundamental principles: continuous verification, least privilege access, and micro-segmentation.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Continuous Verification</w:t>
      </w:r>
      <w:r w:rsidDel="00000000" w:rsidR="00000000" w:rsidRPr="00000000">
        <w:rPr>
          <w:rFonts w:ascii="Google Sans Text" w:cs="Google Sans Text" w:eastAsia="Google Sans Text" w:hAnsi="Google Sans Text"/>
          <w:color w:val="1f1f1f"/>
          <w:rtl w:val="0"/>
        </w:rPr>
        <w:t xml:space="preserve">: Every access request is treated with skepticism. Authentication and authorization are not one-time events at the beginning of a session but are continuously assessed based on user behavior, device health, and geographic location.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Least Privilege Access</w:t>
      </w:r>
      <w:r w:rsidDel="00000000" w:rsidR="00000000" w:rsidRPr="00000000">
        <w:rPr>
          <w:rFonts w:ascii="Google Sans Text" w:cs="Google Sans Text" w:eastAsia="Google Sans Text" w:hAnsi="Google Sans Text"/>
          <w:color w:val="1f1f1f"/>
          <w:rtl w:val="0"/>
        </w:rPr>
        <w:t xml:space="preserve">: Access is restricted to the specific resources required for a specific task. By curtailing broad permissions, organizations can significantly reduce the potential lateral movement of an attacker who has compromised a single credential.</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3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Micro-segmentation</w:t>
      </w:r>
      <w:r w:rsidDel="00000000" w:rsidR="00000000" w:rsidRPr="00000000">
        <w:rPr>
          <w:rFonts w:ascii="Google Sans Text" w:cs="Google Sans Text" w:eastAsia="Google Sans Text" w:hAnsi="Google Sans Text"/>
          <w:color w:val="1f1f1f"/>
          <w:rtl w:val="0"/>
        </w:rPr>
        <w:t xml:space="preserve">: This involves breaking the network down into small, secure zones to isolate workloads. In the context of data transfer, micro-segmentation ensures that a vulnerability in a web server does not automatically grant access to the database or the file storage system.</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Zero Trust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Impact on Data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Micro-segmentation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Isolating sensitive data zones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Prevents lateral movement of threats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Real-time Inspection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Monitoring every access request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Detects anomalies in transfer patterns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MFA &amp; Identity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Verifying users and devices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Reduces risk of credential theft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Device Health Checks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Ensuring OS and patches are current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Prevents access from compromised endpoints</w:t>
            </w:r>
          </w:p>
        </w:tc>
      </w:tr>
    </w:tbl>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adoption of Zero Trust has demonstrated effectiveness across various sectors by ensuring that security is tied to the identity of the user and the specific data being accessed, rather than the location of the user.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For organizations managing transatlantic data flows, this model is particularly effective because it provides a consistent security posture regardless of whether data is moving through a private cloud, a public network, or a third-party SaaS provider.</w:t>
      </w:r>
    </w:p>
    <w:p w:rsidR="00000000" w:rsidDel="00000000" w:rsidP="00000000" w:rsidRDefault="00000000" w:rsidRPr="00000000" w14:paraId="0000005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Principles of the Data Privacy Framework</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Organizations participating in the DPF program must commit to a set of core privacy principles that ensure an "essentially equivalent" level of protection to that found under EU law.</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These principles govern the entire lifecycle of personal data, from collection to deletion.</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Notice and Choice: Empowering the Individual</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Principle of Notice requires organizations to be transparent about their data processing activities. Individuals must be informed about the types of personal data collected, the purpose of the collection, and the identities of any third parties with whom the data is shared.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This notice must be provided in clear and conspicuous language at the time of collection.</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Principle of Choice allows individuals to control how their data is used. Organizations must offer an "opt-out" mechanism if personal information is to be disclosed to a third party or used for a purpose materially different from the original one.</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For sensitive data—such as medical information, racial or ethnic origin, or political opinions—an "opt-in" or affirmative express consent is required before the data can be processed or transferred.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Accountability for Onward Transfer</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an organization transfers data to a third party, it remains responsible for ensuring that the recipient adheres to the DPF principles. This is known as the Principle of Accountability for Onward Transfer.</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transferring organization must enter into a contract with the third-party controller or agent, stipulating that the data may only be processed for limited and specified purposes and that the third party will provide the same level of protection as the DPF principles.</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If an agent fails to meet these obligations, the organization may be held liable unless it can prove it was not responsible for the event giving rise to the damage.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Data Integrity and Purpose Limitation</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mandates that personal data must be limited to the information relevant for the purposes of processing.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Organizations must take reasonable steps to ensure that the data is reliable for its intended use, accurate, complete, and current. Furthermore, data should not be kept for longer than is necessary for the specified purposes.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Right of Access and Redress</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Individuals have a fundamental right to access their personal data held by an organization.</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This includes the right to obtain confirmation of whether the organization is processing their data, to have the data communicated to them in a readable format, and to have the data corrected or deleted if it is inaccurate or processed in violation of the principles.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While access can be restricted in exceptional circumstances—such as when it would violate the rights of others or compromise national security—organizations are expected to make a good-faith effort to provide it.</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Supplemental Principles and Sectoral Applications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DTSF v0.1.2 recognizes that certain types of data and specific industries require tailored approaches to privacy. These are addressed through the Supplemental Principles, which provide granular guidance for complex scenarios.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Human Resources Data and the Employment Relationship</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handling of HR data is particularly sensitive, as it involves the power dynamic of the employment relationship. Organizations that wish to cover HR data under their DPF certification must indicate this in their submission and commit to cooperating with the relevant EU Data Protection Authorities (DPAs).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stipulates that employee data should only be used for legitimate employment-related purposes. If an employer intends to use employee data for non-employment purposes, such as marketing, the employee must be given an explicit choice.</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Furthermore, any complaints from employees regarding the handling of their data should be directed to the DPAs in their home country, and U.S. organizations must commit to complying with the advice provided by these authorities.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Pharmaceuticals and Medical Products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pharmaceutical industry faces unique challenges regarding data integrity and the ethics of clinical research. The framework allows for personal data collected in a research study to be used for future scientific research, provided that appropriate notice and choice were provided initially.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In "blinded" clinical trials, where participants and investigators do not know which treatment is being administered, the right of access can be temporarily restricted to ensure the objectivity of the study.</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However, once the trial is concluded and the results analyzed, participants must be granted access to their data upon request.</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Travel Information and Public Records</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framework also addresses operational needs in the travel industry, such as booking flights or hotels. For occasional operational needs, transfers of small amounts of employee data can occur without the same level of formal contract usually required for onward transfers.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Additionally, the framework clarifies that the application of privacy principles may be limited for data that is part of a public record or is otherwise publicly available, provided that the data is not used for purposes incompatible with its public nature.</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6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Programming Security and the Secure Development Lifecycle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efficacy of the DTSF is ultimately dependent on the security of the software applications that handle the data. Programming data security refers to the specific practices employed by developers to protect sensitive information within the application code.</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6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Secure Coding Practices and Input Validation</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Input validation is perhaps the most critical secure coding practice. Applications accept data from many untrusted sources—including web forms, APIs, and file uploads—all of which represent potential attack surfaces.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Comprehensive validation involves checking the data type, length, and format against a strict "allow-list".</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Sanitization is the process of cleaning input to ensure it cannot be interpreted as a command by a downstream system.</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For example, in a web application, special characters like &lt; and &gt; must be escaped to prevent Cross-Site Scripting (XSS). In database interactions, developers should use parameterized queries to prevent SQL injection, which occurs when an attacker "injects" malicious SQL commands into a query through an unvalidated input field.</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Secure Storage and Communication in Applications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Developers must ensure that sensitive data is stored securely using encryption and hashing. For passwords, organizations should never store plaintext; instead, they should use salted hashing algorithms that are computationally expensive to crack.</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Secure storage also involves the management of encryption keys, which should never be hardcoded in the source code but rather stored in a dedicated secrets management system or a hardware security module (HSM).</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Applications must also ensure that all internal and external communications are encrypted. This involves the use of TLS for all network traffic and the proper management of session tokens to prevent session hijacking.</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Secure coding standards, such as those provided by OWASP or CERT, offer a structured approach to identifying and remediating these vulnerabilities during the development process.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Secure Coding Practice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Threat Mitigated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Detail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Parameterized Queries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SQL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Use strongly typed variables for DB calls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Output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Cross-Site Scripting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Escape HTML special characters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Secrets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Credential Theft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 hardcoded keys; use Vault or HSM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MFA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Unauthorized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 Kerberos, AD, or OAuth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Information Leakage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Generic error messages for users</w:t>
            </w:r>
          </w:p>
        </w:tc>
      </w:tr>
    </w:tbl>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Data Lifecycle Management (DLM) Methodology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transfer is not an isolated event but a phase within the broader Data Lifecycle Management (DLM) process. Understanding this lifecycle is essential for applying the correct security controls at the right time.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Stages of the Data Lifecycle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DTSF methodology incorporates a structured sequence of processes that guide data from its creation to its eventual destruction.</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8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Generation and Capture</w:t>
      </w:r>
      <w:r w:rsidDel="00000000" w:rsidR="00000000" w:rsidRPr="00000000">
        <w:rPr>
          <w:rFonts w:ascii="Google Sans Text" w:cs="Google Sans Text" w:eastAsia="Google Sans Text" w:hAnsi="Google Sans Text"/>
          <w:color w:val="1f1f1f"/>
          <w:rtl w:val="0"/>
        </w:rPr>
        <w:t xml:space="preserve">: Data is created by an organization or collected from customers and third parties.</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Processing and Ingestion</w:t>
      </w:r>
      <w:r w:rsidDel="00000000" w:rsidR="00000000" w:rsidRPr="00000000">
        <w:rPr>
          <w:rFonts w:ascii="Google Sans Text" w:cs="Google Sans Text" w:eastAsia="Google Sans Text" w:hAnsi="Google Sans Text"/>
          <w:color w:val="1f1f1f"/>
          <w:rtl w:val="0"/>
        </w:rPr>
        <w:t xml:space="preserve">: Raw data is cleaned, transformed, and formatted for use. This stage often involves wrangling, compression, and the initial application of encryption.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Storage and Management</w:t>
      </w:r>
      <w:r w:rsidDel="00000000" w:rsidR="00000000" w:rsidRPr="00000000">
        <w:rPr>
          <w:rFonts w:ascii="Google Sans Text" w:cs="Google Sans Text" w:eastAsia="Google Sans Text" w:hAnsi="Google Sans Text"/>
          <w:color w:val="1f1f1f"/>
          <w:rtl w:val="0"/>
        </w:rPr>
        <w:t xml:space="preserve">: Data is stored in databases, data lakes, or cloud repositories. Management involves the ongoing task of organizing and retrieving data while tracking access logs and changelogs.</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Use and Analysis</w:t>
      </w:r>
      <w:r w:rsidDel="00000000" w:rsidR="00000000" w:rsidRPr="00000000">
        <w:rPr>
          <w:rFonts w:ascii="Google Sans Text" w:cs="Google Sans Text" w:eastAsia="Google Sans Text" w:hAnsi="Google Sans Text"/>
          <w:color w:val="1f1f1f"/>
          <w:rtl w:val="0"/>
        </w:rPr>
        <w:t xml:space="preserve">: Data is utilized to drive business decisions or provide services to customers. This is the stage where data typically provides its greatest value.</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8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Archival and Retention</w:t>
      </w:r>
      <w:r w:rsidDel="00000000" w:rsidR="00000000" w:rsidRPr="00000000">
        <w:rPr>
          <w:rFonts w:ascii="Google Sans Text" w:cs="Google Sans Text" w:eastAsia="Google Sans Text" w:hAnsi="Google Sans Text"/>
          <w:color w:val="1f1f1f"/>
          <w:rtl w:val="0"/>
        </w:rPr>
        <w:t xml:space="preserve">: Over time, data may become less frequently used but still must be kept for legal or historical reasons. Archiving involves moving data to lower-cost, highly secure storage.</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Disposal and Deletion</w:t>
      </w:r>
      <w:r w:rsidDel="00000000" w:rsidR="00000000" w:rsidRPr="00000000">
        <w:rPr>
          <w:rFonts w:ascii="Google Sans Text" w:cs="Google Sans Text" w:eastAsia="Google Sans Text" w:hAnsi="Google Sans Text"/>
          <w:color w:val="1f1f1f"/>
          <w:rtl w:val="0"/>
        </w:rPr>
        <w:t xml:space="preserve">: When data reaches the end of its useful life or its retention period expires, it must be properly disposed of. Secure data erasure methods are necessary to prevent the recovery of sensitive information.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Integrating Security into the Lifecycle</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Effective DLM requires that security measures be integrated into every stage of the lifecycle. For example, data classification should occur during the capture stage to ensure that sensitive data is immediately identified and subjected to higher levels of protection.</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Similarly, auditing and monitoring should be continuous, tracking who accessed the data and what changes were made from ingestion through to disposal.</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framework emphasizes that the path of data is often non-linear; data may be re-processed, re-classified, or pulled from an archive for a new project.</w:t>
      </w:r>
      <w:r w:rsidDel="00000000" w:rsidR="00000000" w:rsidRPr="00000000">
        <w:rPr>
          <w:rFonts w:ascii="Google Sans Text" w:cs="Google Sans Text" w:eastAsia="Google Sans Text" w:hAnsi="Google Sans Text"/>
          <w:color w:val="444746"/>
          <w:sz w:val="24"/>
          <w:szCs w:val="24"/>
          <w:vertAlign w:val="superscript"/>
          <w:rtl w:val="0"/>
        </w:rPr>
        <w:t xml:space="preserve">33</w:t>
      </w:r>
      <w:r w:rsidDel="00000000" w:rsidR="00000000" w:rsidRPr="00000000">
        <w:rPr>
          <w:rFonts w:ascii="Google Sans Text" w:cs="Google Sans Text" w:eastAsia="Google Sans Text" w:hAnsi="Google Sans Text"/>
          <w:color w:val="1f1f1f"/>
          <w:rtl w:val="0"/>
        </w:rPr>
        <w:t xml:space="preserve"> Therefore, the security framework must be flexible enough to handle these backtrackings and overlaps without compromising the integrity of the data.</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Operational Procedures for the Data Transfer Security Framework</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actual execution of a secure data transfer involves a specific six-step procedure designed to ensure that data remains protected at every point of the journey.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1: Initial Encryption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Upon receiving the primary data, the organization must encrypt it using strong algorithms and managed keys.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the data is protected from the very beginning of its presence within the organization's infrastructure.</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2: Rigorous Input Validation</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Before any processing occurs, the data must be validated and sanitized.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step is crucial for preventing the application from being used as a vector for an attack. Validation checks that the data is in the expected format, while sanitization removes any potentially malicious code or metacharacters.</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9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3: Dynamic Access Control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Access control mechanisms must be implemented to restrict access to the data based on the principle of least privilege.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involves verifying user roles and permissions in real-time to ensure that only authorized entities can manipulate the data during the processing phase.</w:t>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4: Secure Processing Environment</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Data processing must occur in a secure environment that utilizes secure coding frameworks and practices.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includes managing memory safely and ensuring that error messages do not reveal sensitive information about the underlying system architecture.</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5: Secure Transfer Protocol</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data is processed and ready for its next destination, it must be transferred using secure communication protocols such as HTTPS/TLS or SFTP.</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ensures that the data remains encrypted as it crosses the network, protecting it from interception or man-in-the-middle attacks.</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Step 6: Secure Long-term Storage</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Finally, the data must be stored in a system that features proper encryption at rest, strict access controls, and ongoing integrity monitoring.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prevents unauthorized access or tampering while the data is stored for future use.</w:t>
      </w:r>
    </w:p>
    <w:p w:rsidR="00000000" w:rsidDel="00000000" w:rsidP="00000000" w:rsidRDefault="00000000" w:rsidRPr="00000000" w14:paraId="0000009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Administrative Certification and Dispute Resolution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Participation in the DPF program requires a voluntary but binding commitment from the organization. Once a company has self-certified its compliance, that commitment is enforceable under U.S. law, primarily by the Federal Trade Commission (FTC) or the Department of Transportation (DOT).</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Self-Certification Process</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Organizations must submit a self-certification to the International Trade Administration (ITA) within the Department of Commerce. This submission must include a copy of the organization's privacy policy, a description of the data being processed, and the name of the independent recourse mechanism the company has chosen.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To remain on the Data Privacy Framework List, organizations must re-certify annually and pay the required administrative fees.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Recourse and the Annex I Arbitral Model</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key requirement of the DPF is providing individuals with access to an independent recourse mechanism to resolve complaints.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Organizations have several options for this, including private-sector dispute resolution bodies or, in the case of HR data, cooperation with EU Data Protection Authorities.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unresolved "residual" claims, individuals have the option of invoking binding arbitration. This is governed by Annex I of the DPF principles, which establishes the Data Privacy Framework Panel.</w:t>
      </w:r>
      <w:r w:rsidDel="00000000" w:rsidR="00000000" w:rsidRPr="00000000">
        <w:rPr>
          <w:rFonts w:ascii="Google Sans Text" w:cs="Google Sans Text" w:eastAsia="Google Sans Text" w:hAnsi="Google Sans Text"/>
          <w:color w:val="444746"/>
          <w:sz w:val="24"/>
          <w:szCs w:val="24"/>
          <w:vertAlign w:val="superscript"/>
          <w:rtl w:val="0"/>
        </w:rPr>
        <w:t xml:space="preserve">34</w:t>
      </w:r>
      <w:r w:rsidDel="00000000" w:rsidR="00000000" w:rsidRPr="00000000">
        <w:rPr>
          <w:rFonts w:ascii="Google Sans Text" w:cs="Google Sans Text" w:eastAsia="Google Sans Text" w:hAnsi="Google Sans Text"/>
          <w:color w:val="1f1f1f"/>
          <w:rtl w:val="0"/>
        </w:rPr>
        <w:t xml:space="preserve"> The panel has the authority to impose non-monetary equitable relief, such as requiring the organization to correct or delete an individual's data.</w:t>
      </w:r>
      <w:r w:rsidDel="00000000" w:rsidR="00000000" w:rsidRPr="00000000">
        <w:rPr>
          <w:rFonts w:ascii="Google Sans Text" w:cs="Google Sans Text" w:eastAsia="Google Sans Text" w:hAnsi="Google Sans Text"/>
          <w:color w:val="444746"/>
          <w:sz w:val="24"/>
          <w:szCs w:val="24"/>
          <w:vertAlign w:val="superscript"/>
          <w:rtl w:val="0"/>
        </w:rPr>
        <w:t xml:space="preserve">35</w:t>
      </w:r>
      <w:r w:rsidDel="00000000" w:rsidR="00000000" w:rsidRPr="00000000">
        <w:rPr>
          <w:rFonts w:ascii="Google Sans Text" w:cs="Google Sans Text" w:eastAsia="Google Sans Text" w:hAnsi="Google Sans Text"/>
          <w:color w:val="1f1f1f"/>
          <w:rtl w:val="0"/>
        </w:rPr>
        <w:t xml:space="preserve"> The location of the arbitration is the United States, but individuals can participate via video or telephone at no cost to themselves.</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Arbitration 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DPF Annex I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Relief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Non-monetary, equitable (Correction/Deletion)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Redress for specific privacy harm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Cost to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Zero (Covered by U.S. government fund)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Ensures accessibility for all citizens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Timeline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Completion within 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Expeditious resolution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Panel Structure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One or three independent arbitrators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Impartial and fair adjudication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Pre-requisite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Attempt to resolve with org and DPA first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Exhaustion of simpler remedies</w:t>
            </w:r>
          </w:p>
        </w:tc>
      </w:tr>
    </w:tbl>
    <w:p w:rsidR="00000000" w:rsidDel="00000000" w:rsidP="00000000" w:rsidRDefault="00000000" w:rsidRPr="00000000" w14:paraId="000000B2">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Future Outlook: Resilience and Emerging Challenges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Transfer Security Framework v0.1.2 is a dynamic entity, designed to adapt as new threats and technologies emerge. However, the future of transatlantic data flows remains subject to both technological and legal challenges.</w:t>
      </w:r>
    </w:p>
    <w:p w:rsidR="00000000" w:rsidDel="00000000" w:rsidP="00000000" w:rsidRDefault="00000000" w:rsidRPr="00000000" w14:paraId="000000B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Technological Threats and Quantum Readiness</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increasing power of quantum computing represents a long-term threat to current cryptographic standards. Many of the algorithms used for asymmetric encryption, such as RSA, could potentially be cracked by a sufficiently powerful quantum computer. The next iterations of the DTSF will likely need to incorporate post-quantum cryptography (PQC) to ensure the continued confidentiality of data transfers in the decades to come.</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B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Persistent Legal and Geopolitical Volatility</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Despite the 2023 adequacy decision, the legal stability of the EU-U.S. Data Privacy Framework is not guaranteed. Privacy advocates continue to challenge the framework in European courts, arguing that U.S. surveillance law still does not offer protections equivalent to the GDPR.</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Organizations are therefore advised to maintain contingency plans, such as Standard Contractual Clauses (SCCs), in case of a future shift in the legal landscape.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as other nations—such as the UK and Switzerland—establish their own data bridges with the United States, the DTSF must expand to include these distinct but related frameworks.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The proliferation of regional privacy laws will require organizations to adopt an increasingly global and flexible approach to data transfer security.</w:t>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Conclusions and Strategic Recommendations</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analysis of the Data Transfer Security Framework v0.1.2 reveals a comprehensive and highly integrated approach to the problem of securing data in transit. By combining the technical rigor of Zero Trust and modern cryptography with the administrative protections of the Data Privacy Framework, it provides a viable path forward for organizations navigating the complexities of global digital commerce.</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primary recommendation for organizations is to move away from a fragmented approach to security and instead adopt a unified framework that encompasses the entire data lifecycle. This involves not only the implementation of specific technical controls but also the establishment of a robust governance structure that includes clear roles and responsibilities, regular training for staff, and continuous monitoring of data transfer activities.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Furthermore, organizations must remain vigilant regarding their compliance obligations. Self-certification is only the first step; maintaining adherence to the DPF principles requires ongoing effort, particularly concerning the accountability for onward transfers and the timely response to access requests.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By aligning their internal methodologies with the standards laid out in the DTSF v0.1.2, organizations can mitigate the risk of data breaches, ensure legal compliance, and build lasting trust with their global partners and customers.</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Zero Trust Security Framework: Core Principles and Benefits for CISOs, accessed January 11, 2026, </w:t>
      </w:r>
      <w:hyperlink r:id="rId6">
        <w:r w:rsidDel="00000000" w:rsidR="00000000" w:rsidRPr="00000000">
          <w:rPr>
            <w:rFonts w:ascii="Google Sans" w:cs="Google Sans" w:eastAsia="Google Sans" w:hAnsi="Google Sans"/>
            <w:color w:val="0000ee"/>
            <w:sz w:val="24"/>
            <w:szCs w:val="24"/>
            <w:u w:val="single"/>
            <w:rtl w:val="0"/>
          </w:rPr>
          <w:t xml:space="preserve">https://deviceauthority.com/understanding-the-zero-trust-security-framework-core-principles-and-benefits-for-cisos/</w:t>
        </w:r>
      </w:hyperlink>
      <w:r w:rsidDel="00000000" w:rsidR="00000000" w:rsidRPr="00000000">
        <w:rPr>
          <w:rtl w:val="0"/>
        </w:rPr>
      </w:r>
    </w:p>
    <w:p w:rsidR="00000000" w:rsidDel="00000000" w:rsidP="00000000" w:rsidRDefault="00000000" w:rsidRPr="00000000" w14:paraId="000000B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EU-US Data Privacy Framework Principles, accessed January 11, 2026, </w:t>
      </w:r>
      <w:hyperlink r:id="rId7">
        <w:r w:rsidDel="00000000" w:rsidR="00000000" w:rsidRPr="00000000">
          <w:rPr>
            <w:rFonts w:ascii="Google Sans" w:cs="Google Sans" w:eastAsia="Google Sans" w:hAnsi="Google Sans"/>
            <w:color w:val="0000ee"/>
            <w:sz w:val="24"/>
            <w:szCs w:val="24"/>
            <w:u w:val="single"/>
            <w:rtl w:val="0"/>
          </w:rPr>
          <w:t xml:space="preserve">https://www.dataprivacyframework.gov/EU-US-Framework</w:t>
        </w:r>
      </w:hyperlink>
      <w:r w:rsidDel="00000000" w:rsidR="00000000" w:rsidRPr="00000000">
        <w:rPr>
          <w:rtl w:val="0"/>
        </w:rPr>
      </w:r>
    </w:p>
    <w:p w:rsidR="00000000" w:rsidDel="00000000" w:rsidP="00000000" w:rsidRDefault="00000000" w:rsidRPr="00000000" w14:paraId="000000C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CSF vs. ISO 27001: What's the difference? - Vanta, accessed January 11, 2026, </w:t>
      </w:r>
      <w:hyperlink r:id="rId8">
        <w:r w:rsidDel="00000000" w:rsidR="00000000" w:rsidRPr="00000000">
          <w:rPr>
            <w:rFonts w:ascii="Google Sans" w:cs="Google Sans" w:eastAsia="Google Sans" w:hAnsi="Google Sans"/>
            <w:color w:val="0000ee"/>
            <w:sz w:val="24"/>
            <w:szCs w:val="24"/>
            <w:u w:val="single"/>
            <w:rtl w:val="0"/>
          </w:rPr>
          <w:t xml:space="preserve">https://www.vanta.com/collection/iso-27001/nist-csf-vs-iso-27001</w:t>
        </w:r>
      </w:hyperlink>
      <w:r w:rsidDel="00000000" w:rsidR="00000000" w:rsidRPr="00000000">
        <w:rPr>
          <w:rtl w:val="0"/>
        </w:rPr>
      </w:r>
    </w:p>
    <w:p w:rsidR="00000000" w:rsidDel="00000000" w:rsidP="00000000" w:rsidRDefault="00000000" w:rsidRPr="00000000" w14:paraId="000000C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General Court Upholds EU-US Data Transfer Framework - Techerati, accessed January 11, 2026, </w:t>
      </w:r>
      <w:hyperlink r:id="rId9">
        <w:r w:rsidDel="00000000" w:rsidR="00000000" w:rsidRPr="00000000">
          <w:rPr>
            <w:rFonts w:ascii="Google Sans" w:cs="Google Sans" w:eastAsia="Google Sans" w:hAnsi="Google Sans"/>
            <w:color w:val="0000ee"/>
            <w:sz w:val="24"/>
            <w:szCs w:val="24"/>
            <w:u w:val="single"/>
            <w:rtl w:val="0"/>
          </w:rPr>
          <w:t xml:space="preserve">https://www.techerati.com/news-hub/eu-general-court-upholds-eu-us-data-transfer-framework/</w:t>
        </w:r>
      </w:hyperlink>
      <w:r w:rsidDel="00000000" w:rsidR="00000000" w:rsidRPr="00000000">
        <w:rPr>
          <w:rtl w:val="0"/>
        </w:rPr>
      </w:r>
    </w:p>
    <w:p w:rsidR="00000000" w:rsidDel="00000000" w:rsidP="00000000" w:rsidRDefault="00000000" w:rsidRPr="00000000" w14:paraId="000000C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Comply with the EU – US Data Privacy Framework? - Cookie Script, accessed January 11, 2026, </w:t>
      </w:r>
      <w:hyperlink r:id="rId10">
        <w:r w:rsidDel="00000000" w:rsidR="00000000" w:rsidRPr="00000000">
          <w:rPr>
            <w:rFonts w:ascii="Google Sans" w:cs="Google Sans" w:eastAsia="Google Sans" w:hAnsi="Google Sans"/>
            <w:color w:val="0000ee"/>
            <w:sz w:val="24"/>
            <w:szCs w:val="24"/>
            <w:u w:val="single"/>
            <w:rtl w:val="0"/>
          </w:rPr>
          <w:t xml:space="preserve">https://cookie-script.com/blog/how-to-comply-with-eu-us-data-privacy-framework</w:t>
        </w:r>
      </w:hyperlink>
      <w:r w:rsidDel="00000000" w:rsidR="00000000" w:rsidRPr="00000000">
        <w:rPr>
          <w:rtl w:val="0"/>
        </w:rPr>
      </w:r>
    </w:p>
    <w:p w:rsidR="00000000" w:rsidDel="00000000" w:rsidP="00000000" w:rsidRDefault="00000000" w:rsidRPr="00000000" w14:paraId="000000C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EU-U.S. Data Privacy Framework (DPF), accessed January 11, 2026, </w:t>
      </w:r>
      <w:hyperlink r:id="rId11">
        <w:r w:rsidDel="00000000" w:rsidR="00000000" w:rsidRPr="00000000">
          <w:rPr>
            <w:rFonts w:ascii="Google Sans" w:cs="Google Sans" w:eastAsia="Google Sans" w:hAnsi="Google Sans"/>
            <w:color w:val="0000ee"/>
            <w:sz w:val="24"/>
            <w:szCs w:val="24"/>
            <w:u w:val="single"/>
            <w:rtl w:val="0"/>
          </w:rPr>
          <w:t xml:space="preserve">https://www.dataprivacyframework.gov/Program-Overview</w:t>
        </w:r>
      </w:hyperlink>
      <w:r w:rsidDel="00000000" w:rsidR="00000000" w:rsidRPr="00000000">
        <w:rPr>
          <w:rtl w:val="0"/>
        </w:rPr>
      </w:r>
    </w:p>
    <w:p w:rsidR="00000000" w:rsidDel="00000000" w:rsidP="00000000" w:rsidRDefault="00000000" w:rsidRPr="00000000" w14:paraId="000000C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 27001 vs NIST Standards: Differences &amp; Requirements - Astra Security, accessed January 11, 2026, </w:t>
      </w:r>
      <w:hyperlink r:id="rId12">
        <w:r w:rsidDel="00000000" w:rsidR="00000000" w:rsidRPr="00000000">
          <w:rPr>
            <w:rFonts w:ascii="Google Sans" w:cs="Google Sans" w:eastAsia="Google Sans" w:hAnsi="Google Sans"/>
            <w:color w:val="0000ee"/>
            <w:sz w:val="24"/>
            <w:szCs w:val="24"/>
            <w:u w:val="single"/>
            <w:rtl w:val="0"/>
          </w:rPr>
          <w:t xml:space="preserve">https://www.getastra.com/blog/compliance/nist/iso-27001-vs-nist/</w:t>
        </w:r>
      </w:hyperlink>
      <w:r w:rsidDel="00000000" w:rsidR="00000000" w:rsidRPr="00000000">
        <w:rPr>
          <w:rtl w:val="0"/>
        </w:rPr>
      </w:r>
    </w:p>
    <w:p w:rsidR="00000000" w:rsidDel="00000000" w:rsidP="00000000" w:rsidRDefault="00000000" w:rsidRPr="00000000" w14:paraId="000000C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800-175B, Guideline for Using Cryptographic Standards in the Federal Government, accessed January 11, 2026, </w:t>
      </w:r>
      <w:hyperlink r:id="rId13">
        <w:r w:rsidDel="00000000" w:rsidR="00000000" w:rsidRPr="00000000">
          <w:rPr>
            <w:rFonts w:ascii="Google Sans" w:cs="Google Sans" w:eastAsia="Google Sans" w:hAnsi="Google Sans"/>
            <w:color w:val="0000ee"/>
            <w:sz w:val="24"/>
            <w:szCs w:val="24"/>
            <w:u w:val="single"/>
            <w:rtl w:val="0"/>
          </w:rPr>
          <w:t xml:space="preserve">https://csrc.nist.gov/pubs/sp/800/175/b/final</w:t>
        </w:r>
      </w:hyperlink>
      <w:r w:rsidDel="00000000" w:rsidR="00000000" w:rsidRPr="00000000">
        <w:rPr>
          <w:rtl w:val="0"/>
        </w:rPr>
      </w:r>
    </w:p>
    <w:p w:rsidR="00000000" w:rsidDel="00000000" w:rsidP="00000000" w:rsidRDefault="00000000" w:rsidRPr="00000000" w14:paraId="000000C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NIST Special Publication (SP) 800-175B Title: Guideline for Using Cryptographic Standards in the Federal Go, accessed January 11, 2026, </w:t>
      </w:r>
      <w:hyperlink r:id="rId14">
        <w:r w:rsidDel="00000000" w:rsidR="00000000" w:rsidRPr="00000000">
          <w:rPr>
            <w:rFonts w:ascii="Google Sans" w:cs="Google Sans" w:eastAsia="Google Sans" w:hAnsi="Google Sans"/>
            <w:color w:val="0000ee"/>
            <w:sz w:val="24"/>
            <w:szCs w:val="24"/>
            <w:u w:val="single"/>
            <w:rtl w:val="0"/>
          </w:rPr>
          <w:t xml:space="preserve">https://csrc.nist.gov/files/pubs/sp/800/175/b/ipd/docs/sp800-175b-draft.pdf</w:t>
        </w:r>
      </w:hyperlink>
      <w:r w:rsidDel="00000000" w:rsidR="00000000" w:rsidRPr="00000000">
        <w:rPr>
          <w:rtl w:val="0"/>
        </w:rPr>
      </w:r>
    </w:p>
    <w:p w:rsidR="00000000" w:rsidDel="00000000" w:rsidP="00000000" w:rsidRDefault="00000000" w:rsidRPr="00000000" w14:paraId="000000C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 800-175B Rev. 1, Guideline for Using Cryptographic Standards in the Federal Government - NIST Computer Security Resource Center, accessed January 11, 2026, </w:t>
      </w:r>
      <w:hyperlink r:id="rId15">
        <w:r w:rsidDel="00000000" w:rsidR="00000000" w:rsidRPr="00000000">
          <w:rPr>
            <w:rFonts w:ascii="Google Sans" w:cs="Google Sans" w:eastAsia="Google Sans" w:hAnsi="Google Sans"/>
            <w:color w:val="0000ee"/>
            <w:sz w:val="24"/>
            <w:szCs w:val="24"/>
            <w:u w:val="single"/>
            <w:rtl w:val="0"/>
          </w:rPr>
          <w:t xml:space="preserve">https://csrc.nist.gov/pubs/sp/800/175/b/r1/ipd</w:t>
        </w:r>
      </w:hyperlink>
      <w:r w:rsidDel="00000000" w:rsidR="00000000" w:rsidRPr="00000000">
        <w:rPr>
          <w:rtl w:val="0"/>
        </w:rPr>
      </w:r>
    </w:p>
    <w:p w:rsidR="00000000" w:rsidDel="00000000" w:rsidP="00000000" w:rsidRDefault="00000000" w:rsidRPr="00000000" w14:paraId="000000C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DMTF Releases Security Specification 1.2, accessed January 11, 2026, </w:t>
      </w:r>
      <w:hyperlink r:id="rId16">
        <w:r w:rsidDel="00000000" w:rsidR="00000000" w:rsidRPr="00000000">
          <w:rPr>
            <w:rFonts w:ascii="Google Sans" w:cs="Google Sans" w:eastAsia="Google Sans" w:hAnsi="Google Sans"/>
            <w:color w:val="0000ee"/>
            <w:sz w:val="24"/>
            <w:szCs w:val="24"/>
            <w:u w:val="single"/>
            <w:rtl w:val="0"/>
          </w:rPr>
          <w:t xml:space="preserve">https://www.dmtf.org/content/dmtf-releases-security-specification-12</w:t>
        </w:r>
      </w:hyperlink>
      <w:r w:rsidDel="00000000" w:rsidR="00000000" w:rsidRPr="00000000">
        <w:rPr>
          <w:rtl w:val="0"/>
        </w:rPr>
      </w:r>
    </w:p>
    <w:p w:rsidR="00000000" w:rsidDel="00000000" w:rsidP="00000000" w:rsidRDefault="00000000" w:rsidRPr="00000000" w14:paraId="000000C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Secure Coding Practices, accessed January 11, 2026, </w:t>
      </w:r>
      <w:hyperlink r:id="rId17">
        <w:r w:rsidDel="00000000" w:rsidR="00000000" w:rsidRPr="00000000">
          <w:rPr>
            <w:rFonts w:ascii="Google Sans" w:cs="Google Sans" w:eastAsia="Google Sans" w:hAnsi="Google Sans"/>
            <w:color w:val="0000ee"/>
            <w:sz w:val="24"/>
            <w:szCs w:val="24"/>
            <w:u w:val="single"/>
            <w:rtl w:val="0"/>
          </w:rPr>
          <w:t xml:space="preserve">https://wiki.sei.cmu.edu/confluence/plugins/viewsource/viewpagesrc.action?pageId=88042842</w:t>
        </w:r>
      </w:hyperlink>
      <w:r w:rsidDel="00000000" w:rsidR="00000000" w:rsidRPr="00000000">
        <w:rPr>
          <w:rtl w:val="0"/>
        </w:rPr>
      </w:r>
    </w:p>
    <w:p w:rsidR="00000000" w:rsidDel="00000000" w:rsidP="00000000" w:rsidRDefault="00000000" w:rsidRPr="00000000" w14:paraId="000000C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European Commission Adopts Adequacy Decision For EU-US Data Privacy Framework, accessed January 11, 2026, </w:t>
      </w:r>
      <w:hyperlink r:id="rId18">
        <w:r w:rsidDel="00000000" w:rsidR="00000000" w:rsidRPr="00000000">
          <w:rPr>
            <w:rFonts w:ascii="Google Sans" w:cs="Google Sans" w:eastAsia="Google Sans" w:hAnsi="Google Sans"/>
            <w:color w:val="0000ee"/>
            <w:sz w:val="24"/>
            <w:szCs w:val="24"/>
            <w:u w:val="single"/>
            <w:rtl w:val="0"/>
          </w:rPr>
          <w:t xml:space="preserve">https://www.onetrust.com/blog/european-commission-adopts-adequacy-decision-for-eu-us-data-privacy-framework/</w:t>
        </w:r>
      </w:hyperlink>
      <w:r w:rsidDel="00000000" w:rsidR="00000000" w:rsidRPr="00000000">
        <w:rPr>
          <w:rtl w:val="0"/>
        </w:rPr>
      </w:r>
    </w:p>
    <w:p w:rsidR="00000000" w:rsidDel="00000000" w:rsidP="00000000" w:rsidRDefault="00000000" w:rsidRPr="00000000" w14:paraId="000000C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 EU-U.S. DATA PRIVACY FRAMEWORK PRINCIPLES ISSUED BY THE U.S. DEPARTMENT OF COMMERCE I. OVERVIEW 1. While the United States and, accessed January 11, 2026, </w:t>
      </w:r>
      <w:hyperlink r:id="rId19">
        <w:r w:rsidDel="00000000" w:rsidR="00000000" w:rsidRPr="00000000">
          <w:rPr>
            <w:rFonts w:ascii="Google Sans" w:cs="Google Sans" w:eastAsia="Google Sans" w:hAnsi="Google Sans"/>
            <w:color w:val="0000ee"/>
            <w:sz w:val="24"/>
            <w:szCs w:val="24"/>
            <w:u w:val="single"/>
            <w:rtl w:val="0"/>
          </w:rPr>
          <w:t xml:space="preserve">https://privacyshielddev.blob.core.windows.net/publicsiteassets/Full%20Text_EU-U.S.%20DPF.pdf</w:t>
        </w:r>
      </w:hyperlink>
      <w:r w:rsidDel="00000000" w:rsidR="00000000" w:rsidRPr="00000000">
        <w:rPr>
          <w:rtl w:val="0"/>
        </w:rPr>
      </w:r>
    </w:p>
    <w:p w:rsidR="00000000" w:rsidDel="00000000" w:rsidP="00000000" w:rsidRDefault="00000000" w:rsidRPr="00000000" w14:paraId="000000C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 Overview - Data Privacy Framework, accessed January 11, 2026, </w:t>
      </w:r>
      <w:hyperlink r:id="rId20">
        <w:r w:rsidDel="00000000" w:rsidR="00000000" w:rsidRPr="00000000">
          <w:rPr>
            <w:rFonts w:ascii="Google Sans" w:cs="Google Sans" w:eastAsia="Google Sans" w:hAnsi="Google Sans"/>
            <w:color w:val="0000ee"/>
            <w:sz w:val="24"/>
            <w:szCs w:val="24"/>
            <w:u w:val="single"/>
            <w:rtl w:val="0"/>
          </w:rPr>
          <w:t xml:space="preserve">https://www.dataprivacyframework.gov/framework-article/OVERVIEW</w:t>
        </w:r>
      </w:hyperlink>
      <w:r w:rsidDel="00000000" w:rsidR="00000000" w:rsidRPr="00000000">
        <w:rPr>
          <w:rtl w:val="0"/>
        </w:rPr>
      </w:r>
    </w:p>
    <w:p w:rsidR="00000000" w:rsidDel="00000000" w:rsidP="00000000" w:rsidRDefault="00000000" w:rsidRPr="00000000" w14:paraId="000000C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the Relationship Between NIST CSF and ISO 27001 - StandardFusion, accessed January 11, 2026, </w:t>
      </w:r>
      <w:hyperlink r:id="rId21">
        <w:r w:rsidDel="00000000" w:rsidR="00000000" w:rsidRPr="00000000">
          <w:rPr>
            <w:rFonts w:ascii="Google Sans" w:cs="Google Sans" w:eastAsia="Google Sans" w:hAnsi="Google Sans"/>
            <w:color w:val="0000ee"/>
            <w:sz w:val="24"/>
            <w:szCs w:val="24"/>
            <w:u w:val="single"/>
            <w:rtl w:val="0"/>
          </w:rPr>
          <w:t xml:space="preserve">https://www.standardfusion.com/blog/understanding-the-relationship-between-nist-csf-and-iso-27001</w:t>
        </w:r>
      </w:hyperlink>
      <w:r w:rsidDel="00000000" w:rsidR="00000000" w:rsidRPr="00000000">
        <w:rPr>
          <w:rtl w:val="0"/>
        </w:rPr>
      </w:r>
    </w:p>
    <w:p w:rsidR="00000000" w:rsidDel="00000000" w:rsidP="00000000" w:rsidRDefault="00000000" w:rsidRPr="00000000" w14:paraId="000000C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EU-U.S. PRIVACY SHIELD FRAMEWORK PRINCIPLES ISSUED BY THE U.S. DEPARTMENT OF COMMERCE I. OVERVIEW 1. While the United States and, accessed January 11, 2026, </w:t>
      </w:r>
      <w:hyperlink r:id="rId22">
        <w:r w:rsidDel="00000000" w:rsidR="00000000" w:rsidRPr="00000000">
          <w:rPr>
            <w:rFonts w:ascii="Google Sans" w:cs="Google Sans" w:eastAsia="Google Sans" w:hAnsi="Google Sans"/>
            <w:color w:val="0000ee"/>
            <w:sz w:val="24"/>
            <w:szCs w:val="24"/>
            <w:u w:val="single"/>
            <w:rtl w:val="0"/>
          </w:rPr>
          <w:t xml:space="preserve">https://www.privacyshield.gov/ps/servlet/servlet.FileDownload?file=015t00000004qAg</w:t>
        </w:r>
      </w:hyperlink>
      <w:r w:rsidDel="00000000" w:rsidR="00000000" w:rsidRPr="00000000">
        <w:rPr>
          <w:rtl w:val="0"/>
        </w:rPr>
      </w:r>
    </w:p>
    <w:p w:rsidR="00000000" w:rsidDel="00000000" w:rsidP="00000000" w:rsidRDefault="00000000" w:rsidRPr="00000000" w14:paraId="000000C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Requirements for DPF Program Participating Organizations - Data Privacy Framework, accessed January 11, 2026, </w:t>
      </w:r>
      <w:hyperlink r:id="rId23">
        <w:r w:rsidDel="00000000" w:rsidR="00000000" w:rsidRPr="00000000">
          <w:rPr>
            <w:rFonts w:ascii="Google Sans" w:cs="Google Sans" w:eastAsia="Google Sans" w:hAnsi="Google Sans"/>
            <w:color w:val="0000ee"/>
            <w:sz w:val="24"/>
            <w:szCs w:val="24"/>
            <w:u w:val="single"/>
            <w:rtl w:val="0"/>
          </w:rPr>
          <w:t xml:space="preserve">https://www.dataprivacyframework.gov/key-requirements</w:t>
        </w:r>
      </w:hyperlink>
      <w:r w:rsidDel="00000000" w:rsidR="00000000" w:rsidRPr="00000000">
        <w:rPr>
          <w:rtl w:val="0"/>
        </w:rPr>
      </w:r>
    </w:p>
    <w:p w:rsidR="00000000" w:rsidDel="00000000" w:rsidP="00000000" w:rsidRDefault="00000000" w:rsidRPr="00000000" w14:paraId="000000D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Access - Data Privacy Framework, accessed January 11, 2026, </w:t>
      </w:r>
      <w:hyperlink r:id="rId24">
        <w:r w:rsidDel="00000000" w:rsidR="00000000" w:rsidRPr="00000000">
          <w:rPr>
            <w:rFonts w:ascii="Google Sans" w:cs="Google Sans" w:eastAsia="Google Sans" w:hAnsi="Google Sans"/>
            <w:color w:val="0000ee"/>
            <w:sz w:val="24"/>
            <w:szCs w:val="24"/>
            <w:u w:val="single"/>
            <w:rtl w:val="0"/>
          </w:rPr>
          <w:t xml:space="preserve">https://www.dataprivacyframework.gov/framework-article/8%E2%80%93Access</w:t>
        </w:r>
      </w:hyperlink>
      <w:r w:rsidDel="00000000" w:rsidR="00000000" w:rsidRPr="00000000">
        <w:rPr>
          <w:rtl w:val="0"/>
        </w:rPr>
      </w:r>
    </w:p>
    <w:p w:rsidR="00000000" w:rsidDel="00000000" w:rsidP="00000000" w:rsidRDefault="00000000" w:rsidRPr="00000000" w14:paraId="000000D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Supplemental Principle on Self-Certification - Data Privacy Framework, accessed January 11, 2026, </w:t>
      </w:r>
      <w:hyperlink r:id="rId25">
        <w:r w:rsidDel="00000000" w:rsidR="00000000" w:rsidRPr="00000000">
          <w:rPr>
            <w:rFonts w:ascii="Google Sans" w:cs="Google Sans" w:eastAsia="Google Sans" w:hAnsi="Google Sans"/>
            <w:color w:val="0000ee"/>
            <w:sz w:val="24"/>
            <w:szCs w:val="24"/>
            <w:u w:val="single"/>
            <w:rtl w:val="0"/>
          </w:rPr>
          <w:t xml:space="preserve">https://www.dataprivacyframework.gov/framework-article/6%E2%80%93Self-Certification</w:t>
        </w:r>
      </w:hyperlink>
      <w:r w:rsidDel="00000000" w:rsidR="00000000" w:rsidRPr="00000000">
        <w:rPr>
          <w:rtl w:val="0"/>
        </w:rPr>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9. Human Resources Data - Data Privacy Framework, accessed January 11, 2026, </w:t>
      </w:r>
      <w:hyperlink r:id="rId26">
        <w:r w:rsidDel="00000000" w:rsidR="00000000" w:rsidRPr="00000000">
          <w:rPr>
            <w:rFonts w:ascii="Google Sans" w:cs="Google Sans" w:eastAsia="Google Sans" w:hAnsi="Google Sans"/>
            <w:color w:val="0000ee"/>
            <w:sz w:val="24"/>
            <w:szCs w:val="24"/>
            <w:u w:val="single"/>
            <w:rtl w:val="0"/>
          </w:rPr>
          <w:t xml:space="preserve">https://www.dataprivacyframework.gov/framework-article/9%E2%80%93Human-Resources-Data</w:t>
        </w:r>
      </w:hyperlink>
      <w:r w:rsidDel="00000000" w:rsidR="00000000" w:rsidRPr="00000000">
        <w:rPr>
          <w:rtl w:val="0"/>
        </w:rPr>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The Role of the Data Protection Authorities (c ) - Data Privacy Framework, accessed January 11, 2026, </w:t>
      </w:r>
      <w:hyperlink r:id="rId27">
        <w:r w:rsidDel="00000000" w:rsidR="00000000" w:rsidRPr="00000000">
          <w:rPr>
            <w:rFonts w:ascii="Google Sans" w:cs="Google Sans" w:eastAsia="Google Sans" w:hAnsi="Google Sans"/>
            <w:color w:val="0000ee"/>
            <w:sz w:val="24"/>
            <w:szCs w:val="24"/>
            <w:u w:val="single"/>
            <w:rtl w:val="0"/>
          </w:rPr>
          <w:t xml:space="preserve">https://www.dataprivacyframework.gov/framework-article/5%E2%80%93The-Role-of-the-Data-Protection-Authorities%E2%80%93(c)</w:t>
        </w:r>
      </w:hyperlink>
      <w:r w:rsidDel="00000000" w:rsidR="00000000" w:rsidRPr="00000000">
        <w:rPr>
          <w:rtl w:val="0"/>
        </w:rPr>
      </w:r>
    </w:p>
    <w:p w:rsidR="00000000" w:rsidDel="00000000" w:rsidP="00000000" w:rsidRDefault="00000000" w:rsidRPr="00000000" w14:paraId="000000D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 Pharmaceutical and Medical Products - Data Privacy Framework, accessed January 11, 2026, </w:t>
      </w:r>
      <w:hyperlink r:id="rId28">
        <w:r w:rsidDel="00000000" w:rsidR="00000000" w:rsidRPr="00000000">
          <w:rPr>
            <w:rFonts w:ascii="Google Sans" w:cs="Google Sans" w:eastAsia="Google Sans" w:hAnsi="Google Sans"/>
            <w:color w:val="0000ee"/>
            <w:sz w:val="24"/>
            <w:szCs w:val="24"/>
            <w:u w:val="single"/>
            <w:rtl w:val="0"/>
          </w:rPr>
          <w:t xml:space="preserve">https://www.dataprivacyframework.gov/framework-article/14%E2%80%93Pharmaceutical-and-Medical-Products</w:t>
        </w:r>
      </w:hyperlink>
      <w:r w:rsidDel="00000000" w:rsidR="00000000" w:rsidRPr="00000000">
        <w:rPr>
          <w:rtl w:val="0"/>
        </w:rPr>
      </w:r>
    </w:p>
    <w:p w:rsidR="00000000" w:rsidDel="00000000" w:rsidP="00000000" w:rsidRDefault="00000000" w:rsidRPr="00000000" w14:paraId="000000D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Participation Requirements Data Privacy Framework (DPF) Principles, accessed January 11, 2026, </w:t>
      </w:r>
      <w:hyperlink r:id="rId29">
        <w:r w:rsidDel="00000000" w:rsidR="00000000" w:rsidRPr="00000000">
          <w:rPr>
            <w:rFonts w:ascii="Google Sans" w:cs="Google Sans" w:eastAsia="Google Sans" w:hAnsi="Google Sans"/>
            <w:color w:val="0000ee"/>
            <w:sz w:val="24"/>
            <w:szCs w:val="24"/>
            <w:u w:val="single"/>
            <w:rtl w:val="0"/>
          </w:rPr>
          <w:t xml:space="preserve">https://www.dataprivacyframework.gov/program-articles/Participation-Requirements-Data-Privacy-Framework-(DPF)-Principles</w:t>
        </w:r>
      </w:hyperlink>
      <w:r w:rsidDel="00000000" w:rsidR="00000000" w:rsidRPr="00000000">
        <w:rPr>
          <w:rtl w:val="0"/>
        </w:rPr>
      </w:r>
    </w:p>
    <w:p w:rsidR="00000000" w:rsidDel="00000000" w:rsidP="00000000" w:rsidRDefault="00000000" w:rsidRPr="00000000" w14:paraId="000000D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Are Secure Coding Practices in Software Development? | Kusari®, accessed January 11, 2026, </w:t>
      </w:r>
      <w:hyperlink r:id="rId30">
        <w:r w:rsidDel="00000000" w:rsidR="00000000" w:rsidRPr="00000000">
          <w:rPr>
            <w:rFonts w:ascii="Google Sans" w:cs="Google Sans" w:eastAsia="Google Sans" w:hAnsi="Google Sans"/>
            <w:color w:val="0000ee"/>
            <w:sz w:val="24"/>
            <w:szCs w:val="24"/>
            <w:u w:val="single"/>
            <w:rtl w:val="0"/>
          </w:rPr>
          <w:t xml:space="preserve">https://www.kusari.dev/learning-center/secure-coding-practices</w:t>
        </w:r>
      </w:hyperlink>
      <w:r w:rsidDel="00000000" w:rsidR="00000000" w:rsidRPr="00000000">
        <w:rPr>
          <w:rtl w:val="0"/>
        </w:rPr>
      </w:r>
    </w:p>
    <w:p w:rsidR="00000000" w:rsidDel="00000000" w:rsidP="00000000" w:rsidRDefault="00000000" w:rsidRPr="00000000" w14:paraId="000000D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Coding Practices Checklist - OWASP Foundation, accessed January 11, 2026, </w:t>
      </w:r>
      <w:hyperlink r:id="rId31">
        <w:r w:rsidDel="00000000" w:rsidR="00000000" w:rsidRPr="00000000">
          <w:rPr>
            <w:rFonts w:ascii="Google Sans" w:cs="Google Sans" w:eastAsia="Google Sans" w:hAnsi="Google Sans"/>
            <w:color w:val="0000ee"/>
            <w:sz w:val="24"/>
            <w:szCs w:val="24"/>
            <w:u w:val="single"/>
            <w:rtl w:val="0"/>
          </w:rPr>
          <w:t xml:space="preserve">https://owasp.org/www-project-secure-coding-practices-quick-reference-guide/stable-en/02-checklist/05-checklist</w:t>
        </w:r>
      </w:hyperlink>
      <w:r w:rsidDel="00000000" w:rsidR="00000000" w:rsidRPr="00000000">
        <w:rPr>
          <w:rtl w:val="0"/>
        </w:rPr>
      </w:r>
    </w:p>
    <w:p w:rsidR="00000000" w:rsidDel="00000000" w:rsidP="00000000" w:rsidRDefault="00000000" w:rsidRPr="00000000" w14:paraId="000000D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Coding: Top 7 Best Practices, Risks &amp; Future Trends, accessed January 11, 2026, </w:t>
      </w:r>
      <w:hyperlink r:id="rId32">
        <w:r w:rsidDel="00000000" w:rsidR="00000000" w:rsidRPr="00000000">
          <w:rPr>
            <w:rFonts w:ascii="Google Sans" w:cs="Google Sans" w:eastAsia="Google Sans" w:hAnsi="Google Sans"/>
            <w:color w:val="0000ee"/>
            <w:sz w:val="24"/>
            <w:szCs w:val="24"/>
            <w:u w:val="single"/>
            <w:rtl w:val="0"/>
          </w:rPr>
          <w:t xml:space="preserve">https://www.oligo.security/academy/secure-coding-top-7-best-practices-risks-and-future-trends</w:t>
        </w:r>
      </w:hyperlink>
      <w:r w:rsidDel="00000000" w:rsidR="00000000" w:rsidRPr="00000000">
        <w:rPr>
          <w:rtl w:val="0"/>
        </w:rPr>
      </w:r>
    </w:p>
    <w:p w:rsidR="00000000" w:rsidDel="00000000" w:rsidP="00000000" w:rsidRDefault="00000000" w:rsidRPr="00000000" w14:paraId="000000D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Best Practices for Secure Coding | safecomputing.umich.edu, accessed January 11, 2026, </w:t>
      </w:r>
      <w:hyperlink r:id="rId33">
        <w:r w:rsidDel="00000000" w:rsidR="00000000" w:rsidRPr="00000000">
          <w:rPr>
            <w:rFonts w:ascii="Google Sans" w:cs="Google Sans" w:eastAsia="Google Sans" w:hAnsi="Google Sans"/>
            <w:color w:val="0000ee"/>
            <w:sz w:val="24"/>
            <w:szCs w:val="24"/>
            <w:u w:val="single"/>
            <w:rtl w:val="0"/>
          </w:rPr>
          <w:t xml:space="preserve">https://safecomputing.umich.edu/protect-the-u/protect-your-unit/secure-coding/best-practices</w:t>
        </w:r>
      </w:hyperlink>
      <w:r w:rsidDel="00000000" w:rsidR="00000000" w:rsidRPr="00000000">
        <w:rPr>
          <w:rtl w:val="0"/>
        </w:rPr>
      </w:r>
    </w:p>
    <w:p w:rsidR="00000000" w:rsidDel="00000000" w:rsidP="00000000" w:rsidRDefault="00000000" w:rsidRPr="00000000" w14:paraId="000000D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Data Security Lifecycle? - GoAnywhere, accessed January 11, 2026, </w:t>
      </w:r>
      <w:hyperlink r:id="rId34">
        <w:r w:rsidDel="00000000" w:rsidR="00000000" w:rsidRPr="00000000">
          <w:rPr>
            <w:rFonts w:ascii="Google Sans" w:cs="Google Sans" w:eastAsia="Google Sans" w:hAnsi="Google Sans"/>
            <w:color w:val="0000ee"/>
            <w:sz w:val="24"/>
            <w:szCs w:val="24"/>
            <w:u w:val="single"/>
            <w:rtl w:val="0"/>
          </w:rPr>
          <w:t xml:space="preserve">https://www.goanywhere.com/blog/what-is-the-data-security-lifecycle</w:t>
        </w:r>
      </w:hyperlink>
      <w:r w:rsidDel="00000000" w:rsidR="00000000" w:rsidRPr="00000000">
        <w:rPr>
          <w:rtl w:val="0"/>
        </w:rPr>
      </w:r>
    </w:p>
    <w:p w:rsidR="00000000" w:rsidDel="00000000" w:rsidP="00000000" w:rsidRDefault="00000000" w:rsidRPr="00000000" w14:paraId="000000D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the 12 Stages of Data Lifecycle Management - Cavelo Inc, accessed January 11, 2026, </w:t>
      </w:r>
      <w:hyperlink r:id="rId35">
        <w:r w:rsidDel="00000000" w:rsidR="00000000" w:rsidRPr="00000000">
          <w:rPr>
            <w:rFonts w:ascii="Google Sans" w:cs="Google Sans" w:eastAsia="Google Sans" w:hAnsi="Google Sans"/>
            <w:color w:val="0000ee"/>
            <w:sz w:val="24"/>
            <w:szCs w:val="24"/>
            <w:u w:val="single"/>
            <w:rtl w:val="0"/>
          </w:rPr>
          <w:t xml:space="preserve">https://www.cavelo.com/blog/guide-to-data-lifecycle-management</w:t>
        </w:r>
      </w:hyperlink>
      <w:r w:rsidDel="00000000" w:rsidR="00000000" w:rsidRPr="00000000">
        <w:rPr>
          <w:rtl w:val="0"/>
        </w:rPr>
      </w:r>
    </w:p>
    <w:p w:rsidR="00000000" w:rsidDel="00000000" w:rsidP="00000000" w:rsidRDefault="00000000" w:rsidRPr="00000000" w14:paraId="000000D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Data Lifecycle Steps and Data Privacy Compliance - GDPR Local, accessed January 11, 2026, </w:t>
      </w:r>
      <w:hyperlink r:id="rId36">
        <w:r w:rsidDel="00000000" w:rsidR="00000000" w:rsidRPr="00000000">
          <w:rPr>
            <w:rFonts w:ascii="Google Sans" w:cs="Google Sans" w:eastAsia="Google Sans" w:hAnsi="Google Sans"/>
            <w:color w:val="0000ee"/>
            <w:sz w:val="24"/>
            <w:szCs w:val="24"/>
            <w:u w:val="single"/>
            <w:rtl w:val="0"/>
          </w:rPr>
          <w:t xml:space="preserve">https://gdprlocal.com/data-lifecycle-steps/</w:t>
        </w:r>
      </w:hyperlink>
      <w:r w:rsidDel="00000000" w:rsidR="00000000" w:rsidRPr="00000000">
        <w:rPr>
          <w:rtl w:val="0"/>
        </w:rPr>
      </w:r>
    </w:p>
    <w:p w:rsidR="00000000" w:rsidDel="00000000" w:rsidP="00000000" w:rsidRDefault="00000000" w:rsidRPr="00000000" w14:paraId="000000D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Steps in the Data Life Cycle - HBS Online - Harvard Business School, accessed January 11, 2026, </w:t>
      </w:r>
      <w:hyperlink r:id="rId37">
        <w:r w:rsidDel="00000000" w:rsidR="00000000" w:rsidRPr="00000000">
          <w:rPr>
            <w:rFonts w:ascii="Google Sans" w:cs="Google Sans" w:eastAsia="Google Sans" w:hAnsi="Google Sans"/>
            <w:color w:val="0000ee"/>
            <w:sz w:val="24"/>
            <w:szCs w:val="24"/>
            <w:u w:val="single"/>
            <w:rtl w:val="0"/>
          </w:rPr>
          <w:t xml:space="preserve">https://online.hbs.edu/blog/post/data-life-cycle</w:t>
        </w:r>
      </w:hyperlink>
      <w:r w:rsidDel="00000000" w:rsidR="00000000" w:rsidRPr="00000000">
        <w:rPr>
          <w:rtl w:val="0"/>
        </w:rPr>
      </w:r>
    </w:p>
    <w:p w:rsidR="00000000" w:rsidDel="00000000" w:rsidP="00000000" w:rsidRDefault="00000000" w:rsidRPr="00000000" w14:paraId="000000D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the Data Lifecycle - Data, Academic Planning &amp; Institutional Research, accessed January 11, 2026, </w:t>
      </w:r>
      <w:hyperlink r:id="rId38">
        <w:r w:rsidDel="00000000" w:rsidR="00000000" w:rsidRPr="00000000">
          <w:rPr>
            <w:rFonts w:ascii="Google Sans" w:cs="Google Sans" w:eastAsia="Google Sans" w:hAnsi="Google Sans"/>
            <w:color w:val="0000ee"/>
            <w:sz w:val="24"/>
            <w:szCs w:val="24"/>
            <w:u w:val="single"/>
            <w:rtl w:val="0"/>
          </w:rPr>
          <w:t xml:space="preserve">https://data.wisc.edu/data-literacy/lifecycle/</w:t>
        </w:r>
      </w:hyperlink>
      <w:r w:rsidDel="00000000" w:rsidR="00000000" w:rsidRPr="00000000">
        <w:rPr>
          <w:rtl w:val="0"/>
        </w:rPr>
      </w:r>
    </w:p>
    <w:p w:rsidR="00000000" w:rsidDel="00000000" w:rsidP="00000000" w:rsidRDefault="00000000" w:rsidRPr="00000000" w14:paraId="000000D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ANNEX-I-introduction - Data Privacy Framework, accessed January 11, 2026, </w:t>
      </w:r>
      <w:hyperlink r:id="rId39">
        <w:r w:rsidDel="00000000" w:rsidR="00000000" w:rsidRPr="00000000">
          <w:rPr>
            <w:rFonts w:ascii="Google Sans" w:cs="Google Sans" w:eastAsia="Google Sans" w:hAnsi="Google Sans"/>
            <w:color w:val="0000ee"/>
            <w:sz w:val="24"/>
            <w:szCs w:val="24"/>
            <w:u w:val="single"/>
            <w:rtl w:val="0"/>
          </w:rPr>
          <w:t xml:space="preserve">https://www.dataprivacyframework.gov/framework-article/ANNEX-I-introduction</w:t>
        </w:r>
      </w:hyperlink>
      <w:r w:rsidDel="00000000" w:rsidR="00000000" w:rsidRPr="00000000">
        <w:rPr>
          <w:rtl w:val="0"/>
        </w:rPr>
      </w:r>
    </w:p>
    <w:p w:rsidR="00000000" w:rsidDel="00000000" w:rsidP="00000000" w:rsidRDefault="00000000" w:rsidRPr="00000000" w14:paraId="000000E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United States Data Privacy Framework (DPF) program - Annex I. Binding Arbitration - RWS, accessed January 11, 2026, </w:t>
      </w:r>
      <w:hyperlink r:id="rId40">
        <w:r w:rsidDel="00000000" w:rsidR="00000000" w:rsidRPr="00000000">
          <w:rPr>
            <w:rFonts w:ascii="Google Sans" w:cs="Google Sans" w:eastAsia="Google Sans" w:hAnsi="Google Sans"/>
            <w:color w:val="0000ee"/>
            <w:sz w:val="24"/>
            <w:szCs w:val="24"/>
            <w:u w:val="single"/>
            <w:rtl w:val="0"/>
          </w:rPr>
          <w:t xml:space="preserve">https://www.rws.com/legal/privacy/us-dpf-notice/annex-i/</w:t>
        </w:r>
      </w:hyperlink>
      <w:r w:rsidDel="00000000" w:rsidR="00000000" w:rsidRPr="00000000">
        <w:rPr>
          <w:rtl w:val="0"/>
        </w:rPr>
      </w:r>
    </w:p>
    <w:p w:rsidR="00000000" w:rsidDel="00000000" w:rsidP="00000000" w:rsidRDefault="00000000" w:rsidRPr="00000000" w14:paraId="000000E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 Arbitration Procedures - Data Privacy Framework, accessed January 11, 2026, </w:t>
      </w:r>
      <w:hyperlink r:id="rId41">
        <w:r w:rsidDel="00000000" w:rsidR="00000000" w:rsidRPr="00000000">
          <w:rPr>
            <w:rFonts w:ascii="Google Sans" w:cs="Google Sans" w:eastAsia="Google Sans" w:hAnsi="Google Sans"/>
            <w:color w:val="0000ee"/>
            <w:sz w:val="24"/>
            <w:szCs w:val="24"/>
            <w:u w:val="single"/>
            <w:rtl w:val="0"/>
          </w:rPr>
          <w:t xml:space="preserve">https://www.dataprivacyframework.gov/framework-article/G%E2%80%93Arbitration-Procedures</w:t>
        </w:r>
      </w:hyperlink>
      <w:r w:rsidDel="00000000" w:rsidR="00000000" w:rsidRPr="00000000">
        <w:rPr>
          <w:rtl w:val="0"/>
        </w:rPr>
      </w:r>
    </w:p>
    <w:p w:rsidR="00000000" w:rsidDel="00000000" w:rsidP="00000000" w:rsidRDefault="00000000" w:rsidRPr="00000000" w14:paraId="000000E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ISO27001 - GRC Solutions, accessed January 11, 2026, </w:t>
      </w:r>
      <w:hyperlink r:id="rId42">
        <w:r w:rsidDel="00000000" w:rsidR="00000000" w:rsidRPr="00000000">
          <w:rPr>
            <w:rFonts w:ascii="Google Sans" w:cs="Google Sans" w:eastAsia="Google Sans" w:hAnsi="Google Sans"/>
            <w:color w:val="0000ee"/>
            <w:sz w:val="24"/>
            <w:szCs w:val="24"/>
            <w:u w:val="single"/>
            <w:rtl w:val="0"/>
          </w:rPr>
          <w:t xml:space="preserve">https://grcsolutions.io/iso27001/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rws.com/legal/privacy/us-dpf-notice/annex-i/" TargetMode="External"/><Relationship Id="rId20" Type="http://schemas.openxmlformats.org/officeDocument/2006/relationships/hyperlink" Target="https://www.dataprivacyframework.gov/framework-article/OVERVIEW" TargetMode="External"/><Relationship Id="rId42" Type="http://schemas.openxmlformats.org/officeDocument/2006/relationships/hyperlink" Target="https://grcsolutions.io/iso27001/" TargetMode="External"/><Relationship Id="rId41" Type="http://schemas.openxmlformats.org/officeDocument/2006/relationships/hyperlink" Target="https://www.dataprivacyframework.gov/framework-article/G%E2%80%93Arbitration-Procedures" TargetMode="External"/><Relationship Id="rId22" Type="http://schemas.openxmlformats.org/officeDocument/2006/relationships/hyperlink" Target="https://www.privacyshield.gov/ps/servlet/servlet.FileDownload?file=015t00000004qAg" TargetMode="External"/><Relationship Id="rId21" Type="http://schemas.openxmlformats.org/officeDocument/2006/relationships/hyperlink" Target="https://www.standardfusion.com/blog/understanding-the-relationship-between-nist-csf-and-iso-27001" TargetMode="External"/><Relationship Id="rId24" Type="http://schemas.openxmlformats.org/officeDocument/2006/relationships/hyperlink" Target="https://www.dataprivacyframework.gov/framework-article/8%E2%80%93Access" TargetMode="External"/><Relationship Id="rId23" Type="http://schemas.openxmlformats.org/officeDocument/2006/relationships/hyperlink" Target="https://www.dataprivacyframework.gov/key-requirem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techerati.com/news-hub/eu-general-court-upholds-eu-us-data-transfer-framework/" TargetMode="External"/><Relationship Id="rId26" Type="http://schemas.openxmlformats.org/officeDocument/2006/relationships/hyperlink" Target="https://www.dataprivacyframework.gov/framework-article/9%E2%80%93Human-Resources-Data" TargetMode="External"/><Relationship Id="rId25" Type="http://schemas.openxmlformats.org/officeDocument/2006/relationships/hyperlink" Target="https://www.dataprivacyframework.gov/framework-article/6%E2%80%93Self-Certification" TargetMode="External"/><Relationship Id="rId28" Type="http://schemas.openxmlformats.org/officeDocument/2006/relationships/hyperlink" Target="https://www.dataprivacyframework.gov/framework-article/14%E2%80%93Pharmaceutical-and-Medical-Products" TargetMode="External"/><Relationship Id="rId27" Type="http://schemas.openxmlformats.org/officeDocument/2006/relationships/hyperlink" Target="https://www.dataprivacyframework.gov/framework-article/5%E2%80%93The-Role-of-the-Data-Protection-Authorities%E2%80%93(c)" TargetMode="External"/><Relationship Id="rId5" Type="http://schemas.openxmlformats.org/officeDocument/2006/relationships/styles" Target="styles.xml"/><Relationship Id="rId6" Type="http://schemas.openxmlformats.org/officeDocument/2006/relationships/hyperlink" Target="https://deviceauthority.com/understanding-the-zero-trust-security-framework-core-principles-and-benefits-for-cisos/" TargetMode="External"/><Relationship Id="rId29" Type="http://schemas.openxmlformats.org/officeDocument/2006/relationships/hyperlink" Target="https://www.dataprivacyframework.gov/program-articles/Participation-Requirements-Data-Privacy-Framework-(DPF)-Principles" TargetMode="External"/><Relationship Id="rId7" Type="http://schemas.openxmlformats.org/officeDocument/2006/relationships/hyperlink" Target="https://www.dataprivacyframework.gov/EU-US-Framework" TargetMode="External"/><Relationship Id="rId8" Type="http://schemas.openxmlformats.org/officeDocument/2006/relationships/hyperlink" Target="https://www.vanta.com/collection/iso-27001/nist-csf-vs-iso-27001" TargetMode="External"/><Relationship Id="rId31" Type="http://schemas.openxmlformats.org/officeDocument/2006/relationships/hyperlink" Target="https://owasp.org/www-project-secure-coding-practices-quick-reference-guide/stable-en/02-checklist/05-checklist" TargetMode="External"/><Relationship Id="rId30" Type="http://schemas.openxmlformats.org/officeDocument/2006/relationships/hyperlink" Target="https://www.kusari.dev/learning-center/secure-coding-practices" TargetMode="External"/><Relationship Id="rId11" Type="http://schemas.openxmlformats.org/officeDocument/2006/relationships/hyperlink" Target="https://www.dataprivacyframework.gov/Program-Overview" TargetMode="External"/><Relationship Id="rId33" Type="http://schemas.openxmlformats.org/officeDocument/2006/relationships/hyperlink" Target="https://safecomputing.umich.edu/protect-the-u/protect-your-unit/secure-coding/best-practices" TargetMode="External"/><Relationship Id="rId10" Type="http://schemas.openxmlformats.org/officeDocument/2006/relationships/hyperlink" Target="https://cookie-script.com/blog/how-to-comply-with-eu-us-data-privacy-framework" TargetMode="External"/><Relationship Id="rId32" Type="http://schemas.openxmlformats.org/officeDocument/2006/relationships/hyperlink" Target="https://www.oligo.security/academy/secure-coding-top-7-best-practices-risks-and-future-trends" TargetMode="External"/><Relationship Id="rId13" Type="http://schemas.openxmlformats.org/officeDocument/2006/relationships/hyperlink" Target="https://csrc.nist.gov/pubs/sp/800/175/b/final" TargetMode="External"/><Relationship Id="rId35" Type="http://schemas.openxmlformats.org/officeDocument/2006/relationships/hyperlink" Target="https://www.cavelo.com/blog/guide-to-data-lifecycle-management" TargetMode="External"/><Relationship Id="rId12" Type="http://schemas.openxmlformats.org/officeDocument/2006/relationships/hyperlink" Target="https://www.getastra.com/blog/compliance/nist/iso-27001-vs-nist/" TargetMode="External"/><Relationship Id="rId34" Type="http://schemas.openxmlformats.org/officeDocument/2006/relationships/hyperlink" Target="https://www.goanywhere.com/blog/what-is-the-data-security-lifecycle" TargetMode="External"/><Relationship Id="rId15" Type="http://schemas.openxmlformats.org/officeDocument/2006/relationships/hyperlink" Target="https://csrc.nist.gov/pubs/sp/800/175/b/r1/ipd" TargetMode="External"/><Relationship Id="rId37" Type="http://schemas.openxmlformats.org/officeDocument/2006/relationships/hyperlink" Target="https://online.hbs.edu/blog/post/data-life-cycle" TargetMode="External"/><Relationship Id="rId14" Type="http://schemas.openxmlformats.org/officeDocument/2006/relationships/hyperlink" Target="https://csrc.nist.gov/files/pubs/sp/800/175/b/ipd/docs/sp800-175b-draft.pdf" TargetMode="External"/><Relationship Id="rId36" Type="http://schemas.openxmlformats.org/officeDocument/2006/relationships/hyperlink" Target="https://gdprlocal.com/data-lifecycle-steps/" TargetMode="External"/><Relationship Id="rId17" Type="http://schemas.openxmlformats.org/officeDocument/2006/relationships/hyperlink" Target="https://wiki.sei.cmu.edu/confluence/plugins/viewsource/viewpagesrc.action?pageId=88042842" TargetMode="External"/><Relationship Id="rId39" Type="http://schemas.openxmlformats.org/officeDocument/2006/relationships/hyperlink" Target="https://www.dataprivacyframework.gov/framework-article/ANNEX-I-introduction" TargetMode="External"/><Relationship Id="rId16" Type="http://schemas.openxmlformats.org/officeDocument/2006/relationships/hyperlink" Target="https://www.dmtf.org/content/dmtf-releases-security-specification-12" TargetMode="External"/><Relationship Id="rId38" Type="http://schemas.openxmlformats.org/officeDocument/2006/relationships/hyperlink" Target="https://data.wisc.edu/data-literacy/lifecycle/" TargetMode="External"/><Relationship Id="rId19" Type="http://schemas.openxmlformats.org/officeDocument/2006/relationships/hyperlink" Target="https://privacyshielddev.blob.core.windows.net/publicsiteassets/Full%20Text_EU-U.S.%20DPF.pdf" TargetMode="External"/><Relationship Id="rId18" Type="http://schemas.openxmlformats.org/officeDocument/2006/relationships/hyperlink" Target="https://www.onetrust.com/blog/european-commission-adopts-adequacy-decision-for-eu-us-data-privacy-framewor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